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9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bidi w:val="0"/>
        <w:spacing w:lineRule="auto" w:line="24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/>
        <w:drawing>
          <wp:anchor behindDoc="1" distT="0" distB="0" distL="0" distR="0" simplePos="0" locked="0" layoutInCell="1" allowOverlap="1" relativeHeight="2">
            <wp:simplePos x="0" y="0"/>
            <wp:positionH relativeFrom="page">
              <wp:posOffset>-12065</wp:posOffset>
            </wp:positionH>
            <wp:positionV relativeFrom="page">
              <wp:posOffset>-12065</wp:posOffset>
            </wp:positionV>
            <wp:extent cx="10680700" cy="15102205"/>
            <wp:effectExtent l="0" t="0" r="0" b="0"/>
            <wp:wrapNone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1510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pBdr/>
        <w:bidi w:val="0"/>
        <w:spacing w:lineRule="exact" w:line="586" w:before="0" w:after="0"/>
        <w:ind w:left="0" w:right="0" w:hanging="0"/>
        <w:jc w:val="both"/>
        <w:rPr>
          <w:rFonts w:ascii="WPBKSG+Titillium-Semibold" w:hAnsi="WPBKSG+Titillium-Semibold"/>
          <w:color w:val="000000"/>
          <w:spacing w:val="0"/>
          <w:sz w:val="42"/>
        </w:rPr>
        <w:framePr w:w="8362" w:h="1172" w:x="7040" w:y="4828" w:wrap="through" w:vAnchor="text" w:hAnchor="text" w:hRule="exact"/>
      </w:pPr>
      <w:r>
        <w:rPr>
          <w:rFonts w:ascii="WPBKSG+Titillium-Semibold" w:hAnsi="WPBKSG+Titillium-Semibold"/>
          <w:color w:val="FFFFFF"/>
          <w:spacing w:val="-1"/>
          <w:sz w:val="32"/>
          <w:szCs w:val="32"/>
          <w:lang w:val="en-US" w:eastAsia="en-US" w:bidi="ar-SA"/>
        </w:rPr>
        <w:t>Bando nazionale per assunzioni di personale a tempo determinato negli Ambiti territoriali sociali</w:t>
      </w:r>
    </w:p>
    <w:p>
      <w:pPr>
        <w:pStyle w:val="Normal"/>
        <w:widowControl w:val="false"/>
        <w:pBdr/>
        <w:bidi w:val="0"/>
        <w:spacing w:lineRule="exact" w:line="474" w:before="0" w:after="0"/>
        <w:ind w:left="0" w:right="0" w:hanging="0"/>
        <w:jc w:val="both"/>
        <w:rPr>
          <w:rFonts w:ascii="KHPBCL+Titillium-Regular" w:hAnsi="KHPBCL+Titillium-Regular"/>
          <w:color w:val="000000"/>
          <w:spacing w:val="0"/>
          <w:sz w:val="35"/>
        </w:rPr>
        <w:framePr w:w="8684" w:h="2370" w:x="7056" w:y="6177" w:wrap="through" w:vAnchor="text" w:hAnchor="text" w:hRule="exact"/>
      </w:pPr>
      <w:r>
        <w:rPr>
          <w:rFonts w:ascii="CIKVNA+Titillium-Regular" w:hAnsi="CIKVNA+Titillium-Regular"/>
          <w:color w:val="FFFFFF"/>
          <w:spacing w:val="-2"/>
          <w:sz w:val="28"/>
          <w:szCs w:val="28"/>
          <w:lang w:val="en-US" w:eastAsia="en-US" w:bidi="ar-SA"/>
        </w:rPr>
        <w:t>Il PN inclusione 21-27 finanzia l’assunzione di personale a tempo determinato per 3 anni per rispondere alle esigenze dei cittadini. Per il Comune di Piacenza è stata finanziata l’assunzione di 2 psicologi che consentirà un supporto adeguato alle famiglie che si rivolgeranno ai Servizi sociali.</w:t>
      </w:r>
    </w:p>
    <w:p>
      <w:pPr>
        <w:pStyle w:val="Normal"/>
        <w:widowControl w:val="false"/>
        <w:pBdr/>
        <w:bidi w:val="0"/>
        <w:spacing w:lineRule="exact" w:line="1205" w:before="0" w:after="0"/>
        <w:ind w:right="0" w:hanging="0"/>
        <w:jc w:val="left"/>
        <w:rPr>
          <w:rFonts w:ascii="WPBKSG+Titillium-Semibold" w:hAnsi="WPBKSG+Titillium-Semibold"/>
          <w:color w:val="000000"/>
          <w:spacing w:val="0"/>
          <w:sz w:val="86"/>
        </w:rPr>
        <w:framePr w:w="10563" w:h="4820" w:x="4965" w:y="11205" w:wrap="through" w:vAnchor="text" w:hAnchor="text" w:hRule="exact"/>
      </w:pPr>
      <w:r>
        <w:rPr>
          <w:rFonts w:ascii="WPBKSG+Titillium-Semibold" w:hAnsi="WPBKSG+Titillium-Semibold"/>
          <w:color w:val="FFFFFF"/>
          <w:spacing w:val="0"/>
          <w:sz w:val="86"/>
        </w:rPr>
        <w:t xml:space="preserve">Questo </w:t>
      </w:r>
      <w:r>
        <w:rPr>
          <w:rFonts w:ascii="WPBKSG+Titillium-Semibold" w:hAnsi="WPBKSG+Titillium-Semibold"/>
          <w:color w:val="FFFFFF"/>
          <w:spacing w:val="-1"/>
          <w:sz w:val="86"/>
        </w:rPr>
        <w:t xml:space="preserve">intervento </w:t>
      </w:r>
      <w:r>
        <w:rPr>
          <w:rFonts w:cs="WPBKSG+Titillium-Semibold" w:ascii="WPBKSG+Titillium-Semibold" w:hAnsi="WPBKSG+Titillium-Semibold"/>
          <w:color w:val="FFFFFF"/>
          <w:spacing w:val="0"/>
          <w:sz w:val="86"/>
        </w:rPr>
        <w:t>è</w:t>
      </w:r>
      <w:r>
        <w:rPr>
          <w:rFonts w:ascii="WPBKSG+Titillium-Semibold" w:hAnsi="WPBKSG+Titillium-Semibold"/>
          <w:color w:val="FFFFFF"/>
          <w:spacing w:val="0"/>
          <w:sz w:val="86"/>
        </w:rPr>
        <w:t xml:space="preserve"> realizzato </w:t>
      </w:r>
      <w:r>
        <w:rPr>
          <w:rFonts w:ascii="WPBKSG+Titillium-Semibold" w:hAnsi="WPBKSG+Titillium-Semibold"/>
          <w:color w:val="FFFFFF"/>
          <w:spacing w:val="-2"/>
          <w:sz w:val="86"/>
        </w:rPr>
        <w:t>con</w:t>
      </w:r>
      <w:r>
        <w:rPr>
          <w:rFonts w:ascii="WPBKSG+Titillium-Semibold" w:hAnsi="WPBKSG+Titillium-Semibold"/>
          <w:color w:val="FFFFFF"/>
          <w:spacing w:val="2"/>
          <w:sz w:val="86"/>
        </w:rPr>
        <w:t xml:space="preserve"> </w:t>
      </w:r>
      <w:r>
        <w:rPr>
          <w:rFonts w:ascii="WPBKSG+Titillium-Semibold" w:hAnsi="WPBKSG+Titillium-Semibold"/>
          <w:color w:val="FFFFFF"/>
          <w:spacing w:val="0"/>
          <w:sz w:val="86"/>
        </w:rPr>
        <w:t xml:space="preserve">il contributo </w:t>
      </w:r>
      <w:r>
        <w:rPr>
          <w:rFonts w:cs="WPBKSG+Titillium-Semibold" w:ascii="WPBKSG+Titillium-Semibold" w:hAnsi="WPBKSG+Titillium-Semibold"/>
          <w:color w:val="FFFFFF"/>
          <w:spacing w:val="0"/>
          <w:sz w:val="86"/>
        </w:rPr>
        <w:t>dell’Unione</w:t>
      </w:r>
      <w:r>
        <w:rPr>
          <w:rFonts w:ascii="WPBKSG+Titillium-Semibold" w:hAnsi="WPBKSG+Titillium-Semibold"/>
          <w:color w:val="FFFFFF"/>
          <w:spacing w:val="0"/>
          <w:sz w:val="86"/>
        </w:rPr>
        <w:t xml:space="preserve"> </w:t>
      </w:r>
      <w:r>
        <w:rPr>
          <w:rFonts w:ascii="WPBKSG+Titillium-Semibold" w:hAnsi="WPBKSG+Titillium-Semibold"/>
          <w:color w:val="FFFFFF"/>
          <w:spacing w:val="-1"/>
          <w:sz w:val="86"/>
        </w:rPr>
        <w:t>europea</w:t>
      </w:r>
    </w:p>
    <w:p>
      <w:pPr>
        <w:pStyle w:val="Normal"/>
        <w:widowControl w:val="false"/>
        <w:pBdr/>
        <w:bidi w:val="0"/>
        <w:spacing w:lineRule="exact" w:line="417" w:before="0" w:after="0"/>
        <w:ind w:left="0" w:right="0" w:hanging="0"/>
        <w:jc w:val="left"/>
        <w:rPr>
          <w:rFonts w:ascii="WPBKSG+Titillium-Semibold" w:hAnsi="WPBKSG+Titillium-Semibold"/>
          <w:color w:val="000000"/>
          <w:spacing w:val="0"/>
          <w:sz w:val="30"/>
        </w:rPr>
        <w:framePr w:w="771" w:h="417" w:x="1409" w:y="19651" w:wrap="through" w:vAnchor="text" w:hAnchor="text" w:hRule="exact"/>
      </w:pPr>
      <w:r>
        <w:rPr>
          <w:rFonts w:ascii="WPBKSG+Titillium-Semibold" w:hAnsi="WPBKSG+Titillium-Semibold"/>
          <w:color w:val="FFFFFF"/>
          <w:spacing w:val="-2"/>
          <w:sz w:val="30"/>
        </w:rPr>
        <w:t>CUP</w:t>
      </w:r>
    </w:p>
    <w:p>
      <w:pPr>
        <w:pStyle w:val="Normal"/>
        <w:widowControl w:val="false"/>
        <w:pBdr/>
        <w:bidi w:val="0"/>
        <w:spacing w:lineRule="exact" w:line="486" w:before="0" w:after="0"/>
        <w:ind w:left="0" w:right="0" w:hanging="0"/>
        <w:jc w:val="left"/>
        <w:rPr>
          <w:rFonts w:ascii="WPBKSG+Titillium-Semibold" w:hAnsi="WPBKSG+Titillium-Semibold"/>
          <w:color w:val="000000"/>
          <w:spacing w:val="0"/>
          <w:sz w:val="35"/>
        </w:rPr>
        <w:framePr w:w="7934" w:h="1212" w:x="1409" w:y="20013" w:wrap="through" w:vAnchor="text" w:hAnchor="text" w:hRule="exact"/>
      </w:pPr>
      <w:r>
        <w:rPr>
          <w:rFonts w:ascii="WPBKSG+Titillium-Semibold" w:hAnsi="WPBKSG+Titillium-Semibold"/>
          <w:color w:val="FFFFFF"/>
          <w:spacing w:val="-2"/>
          <w:sz w:val="35"/>
          <w:szCs w:val="22"/>
          <w:lang w:val="en-US" w:eastAsia="en-US" w:bidi="ar-SA"/>
        </w:rPr>
        <w:t>G17H03000130001</w:t>
      </w:r>
    </w:p>
    <w:p>
      <w:pPr>
        <w:pStyle w:val="Normal"/>
        <w:widowControl w:val="false"/>
        <w:pBdr/>
        <w:bidi w:val="0"/>
        <w:spacing w:lineRule="exact" w:line="347" w:before="32" w:after="0"/>
        <w:ind w:left="0" w:right="0" w:hanging="0"/>
        <w:jc w:val="left"/>
        <w:rPr>
          <w:rFonts w:ascii="WPBKSG+Titillium-Semibold" w:hAnsi="WPBKSG+Titillium-Semibold"/>
          <w:color w:val="000000"/>
          <w:spacing w:val="0"/>
          <w:sz w:val="25"/>
        </w:rPr>
        <w:framePr w:w="7934" w:h="1212" w:x="1409" w:y="20013" w:wrap="through" w:vAnchor="text" w:hAnchor="text" w:hRule="exact"/>
      </w:pPr>
      <w:r>
        <w:rPr>
          <w:rFonts w:ascii="WPBKSG+Titillium-Semibold" w:hAnsi="WPBKSG+Titillium-Semibold"/>
          <w:color w:val="FFFFFF"/>
          <w:spacing w:val="-1"/>
          <w:sz w:val="25"/>
        </w:rPr>
        <w:t>Per</w:t>
      </w:r>
      <w:r>
        <w:rPr>
          <w:rFonts w:ascii="WPBKSG+Titillium-Semibold" w:hAnsi="WPBKSG+Titillium-Semibold"/>
          <w:color w:val="FFFFFF"/>
          <w:spacing w:val="0"/>
          <w:sz w:val="25"/>
        </w:rPr>
        <w:t xml:space="preserve"> </w:t>
      </w:r>
      <w:r>
        <w:rPr>
          <w:rFonts w:ascii="WPBKSG+Titillium-Semibold" w:hAnsi="WPBKSG+Titillium-Semibold"/>
          <w:color w:val="FFFFFF"/>
          <w:spacing w:val="-1"/>
          <w:sz w:val="25"/>
        </w:rPr>
        <w:t>saperne di</w:t>
      </w:r>
      <w:r>
        <w:rPr>
          <w:rFonts w:ascii="WPBKSG+Titillium-Semibold" w:hAnsi="WPBKSG+Titillium-Semibold"/>
          <w:color w:val="FFFFFF"/>
          <w:spacing w:val="0"/>
          <w:sz w:val="25"/>
        </w:rPr>
        <w:t xml:space="preserve"> </w:t>
      </w:r>
      <w:r>
        <w:rPr>
          <w:rFonts w:cs="WPBKSG+Titillium-Semibold" w:ascii="WPBKSG+Titillium-Semibold" w:hAnsi="WPBKSG+Titillium-Semibold"/>
          <w:color w:val="FFFFFF"/>
          <w:spacing w:val="-1"/>
          <w:sz w:val="25"/>
        </w:rPr>
        <w:t>più</w:t>
      </w:r>
      <w:r>
        <w:rPr>
          <w:rFonts w:ascii="WPBKSG+Titillium-Semibold" w:hAnsi="WPBKSG+Titillium-Semibold"/>
          <w:color w:val="FFFFFF"/>
          <w:spacing w:val="-1"/>
          <w:sz w:val="25"/>
        </w:rPr>
        <w:t xml:space="preserve"> consulta</w:t>
      </w:r>
      <w:r>
        <w:rPr>
          <w:rFonts w:ascii="WPBKSG+Titillium-Semibold" w:hAnsi="WPBKSG+Titillium-Semibold"/>
          <w:color w:val="FFFFFF"/>
          <w:spacing w:val="0"/>
          <w:sz w:val="25"/>
        </w:rPr>
        <w:t xml:space="preserve"> </w:t>
      </w:r>
      <w:r>
        <w:rPr>
          <w:rFonts w:ascii="WPBKSG+Titillium-Semibold" w:hAnsi="WPBKSG+Titillium-Semibold"/>
          <w:color w:val="FFFFFF"/>
          <w:spacing w:val="-1"/>
          <w:sz w:val="25"/>
        </w:rPr>
        <w:t>il</w:t>
      </w:r>
      <w:r>
        <w:rPr>
          <w:rFonts w:ascii="WPBKSG+Titillium-Semibold" w:hAnsi="WPBKSG+Titillium-Semibold"/>
          <w:color w:val="FFFFFF"/>
          <w:spacing w:val="0"/>
          <w:sz w:val="25"/>
        </w:rPr>
        <w:t xml:space="preserve"> </w:t>
      </w:r>
      <w:r>
        <w:rPr>
          <w:rFonts w:ascii="WPBKSG+Titillium-Semibold" w:hAnsi="WPBKSG+Titillium-Semibold"/>
          <w:color w:val="FFFFFF"/>
          <w:spacing w:val="-1"/>
          <w:sz w:val="25"/>
        </w:rPr>
        <w:t>portale unico</w:t>
      </w:r>
      <w:r>
        <w:rPr>
          <w:rFonts w:ascii="WPBKSG+Titillium-Semibold" w:hAnsi="WPBKSG+Titillium-Semibold"/>
          <w:color w:val="FFFFFF"/>
          <w:spacing w:val="0"/>
          <w:sz w:val="25"/>
        </w:rPr>
        <w:t xml:space="preserve"> </w:t>
      </w:r>
      <w:r>
        <w:rPr>
          <w:rFonts w:ascii="WPBKSG+Titillium-Semibold" w:hAnsi="WPBKSG+Titillium-Semibold"/>
          <w:color w:val="FFFFFF"/>
          <w:spacing w:val="-1"/>
          <w:sz w:val="25"/>
        </w:rPr>
        <w:t xml:space="preserve">nazionale </w:t>
      </w:r>
      <w:r>
        <w:rPr>
          <w:rFonts w:ascii="WPBKSG+Titillium-Semibold" w:hAnsi="WPBKSG+Titillium-Semibold"/>
          <w:color w:val="FFFFFF"/>
          <w:spacing w:val="-2"/>
          <w:sz w:val="25"/>
        </w:rPr>
        <w:t>opencoesione.gov.it</w:t>
      </w:r>
    </w:p>
    <w:p>
      <w:pPr>
        <w:pStyle w:val="Normal"/>
        <w:widowControl w:val="false"/>
        <w:pBdr/>
        <w:bidi w:val="0"/>
        <w:spacing w:lineRule="exact" w:line="278" w:before="0" w:after="0"/>
        <w:ind w:left="1006" w:right="0" w:hanging="0"/>
        <w:jc w:val="left"/>
        <w:rPr>
          <w:rFonts w:ascii="WPBKSG+Titillium-Semibold" w:hAnsi="WPBKSG+Titillium-Semibold"/>
          <w:color w:val="000000"/>
          <w:spacing w:val="0"/>
          <w:sz w:val="20"/>
        </w:rPr>
        <w:framePr w:w="2799" w:h="516" w:x="12661" w:y="20455" w:wrap="through" w:vAnchor="text" w:hAnchor="text" w:hRule="exact"/>
      </w:pPr>
      <w:r>
        <w:rPr>
          <w:rFonts w:ascii="WPBKSG+Titillium-Semibold" w:hAnsi="WPBKSG+Titillium-Semibold"/>
          <w:color w:val="1175BC"/>
          <w:spacing w:val="-2"/>
          <w:sz w:val="20"/>
        </w:rPr>
        <w:t>Nome</w:t>
      </w:r>
      <w:r>
        <w:rPr>
          <w:rFonts w:ascii="WPBKSG+Titillium-Semibold" w:hAnsi="WPBKSG+Titillium-Semibold"/>
          <w:color w:val="1175BC"/>
          <w:spacing w:val="0"/>
          <w:sz w:val="20"/>
        </w:rPr>
        <w:t xml:space="preserve"> </w:t>
      </w:r>
      <w:r>
        <w:rPr>
          <w:rFonts w:ascii="WPBKSG+Titillium-Semibold" w:hAnsi="WPBKSG+Titillium-Semibold"/>
          <w:color w:val="1175BC"/>
          <w:spacing w:val="-1"/>
          <w:sz w:val="20"/>
        </w:rPr>
        <w:t>Programma</w:t>
      </w:r>
    </w:p>
    <w:p>
      <w:pPr>
        <w:pStyle w:val="Normal"/>
        <w:widowControl w:val="false"/>
        <w:pBdr/>
        <w:bidi w:val="0"/>
        <w:spacing w:lineRule="exact" w:line="238" w:before="0" w:after="0"/>
        <w:ind w:left="0" w:right="0" w:hanging="0"/>
        <w:jc w:val="left"/>
        <w:rPr>
          <w:rFonts w:ascii="WPBKSG+Titillium-Semibold" w:hAnsi="WPBKSG+Titillium-Semibold"/>
          <w:color w:val="000000"/>
          <w:spacing w:val="0"/>
          <w:sz w:val="20"/>
        </w:rPr>
        <w:framePr w:w="2799" w:h="516" w:x="12661" w:y="20455" w:wrap="through" w:vAnchor="text" w:hAnchor="text" w:hRule="exact"/>
      </w:pPr>
      <w:r>
        <w:rPr>
          <w:rFonts w:ascii="WPBKSG+Titillium-Semibold" w:hAnsi="WPBKSG+Titillium-Semibold"/>
          <w:color w:val="1175BC"/>
          <w:spacing w:val="-1"/>
          <w:sz w:val="20"/>
        </w:rPr>
        <w:t>Regionale/Nazionale</w:t>
      </w:r>
      <w:r>
        <w:rPr>
          <w:rFonts w:ascii="WPBKSG+Titillium-Semibold" w:hAnsi="WPBKSG+Titillium-Semibold"/>
          <w:color w:val="1175BC"/>
          <w:spacing w:val="0"/>
          <w:sz w:val="20"/>
        </w:rPr>
        <w:t xml:space="preserve"> </w:t>
      </w:r>
      <w:r>
        <w:rPr>
          <w:rFonts w:ascii="WPBKSG+Titillium-Semibold" w:hAnsi="WPBKSG+Titillium-Semibold"/>
          <w:color w:val="1175BC"/>
          <w:spacing w:val="-1"/>
          <w:sz w:val="20"/>
        </w:rPr>
        <w:t>2021-27</w:t>
      </w:r>
    </w:p>
    <w:p>
      <w:pPr>
        <w:pStyle w:val="Normal"/>
        <w:widowControl w:val="false"/>
        <w:pBdr/>
        <w:bidi w:val="0"/>
        <w:spacing w:lineRule="exact" w:line="411" w:before="0" w:after="0"/>
        <w:ind w:left="0" w:right="0" w:hanging="0"/>
        <w:jc w:val="left"/>
        <w:rPr>
          <w:rFonts w:ascii="WPBKSG+Titillium-Semibold" w:hAnsi="WPBKSG+Titillium-Semibold"/>
          <w:color w:val="000000"/>
          <w:spacing w:val="0"/>
          <w:sz w:val="29"/>
        </w:rPr>
        <w:framePr w:w="830" w:h="411" w:x="14452" w:y="22253" w:wrap="through" w:vAnchor="text" w:hAnchor="text" w:hRule="exact"/>
      </w:pPr>
      <w:r>
        <w:rPr>
          <w:rFonts w:ascii="WPBKSG+Titillium-Semibold" w:hAnsi="WPBKSG+Titillium-Semibold"/>
          <w:color w:val="221E1F"/>
          <w:spacing w:val="11"/>
          <w:sz w:val="20"/>
          <w:szCs w:val="20"/>
        </w:rPr>
        <w:t>Comune</w:t>
      </w:r>
      <w:r>
        <w:rPr>
          <w:rFonts w:ascii="WPBKSG+Titillium-Semibold" w:hAnsi="WPBKSG+Titillium-Semibold"/>
          <w:color w:val="221E1F"/>
          <w:spacing w:val="11"/>
          <w:sz w:val="29"/>
        </w:rPr>
        <w:t xml:space="preserve"> </w:t>
      </w:r>
    </w:p>
    <w:p>
      <w:pPr>
        <w:pStyle w:val="Normal"/>
        <w:widowControl w:val="false"/>
        <w:pBdr/>
        <w:bidi w:val="0"/>
        <w:spacing w:lineRule="exact" w:line="411" w:before="0" w:after="0"/>
        <w:ind w:left="0" w:right="0" w:hanging="0"/>
        <w:jc w:val="left"/>
        <w:rPr>
          <w:sz w:val="20"/>
          <w:szCs w:val="20"/>
        </w:rPr>
        <w:framePr w:w="1493" w:h="411" w:x="14121" w:y="22606" w:wrap="through" w:vAnchor="text" w:hAnchor="text" w:hRule="exact"/>
      </w:pPr>
      <w:r>
        <w:rPr>
          <w:rFonts w:ascii="WPBKSG+Titillium-Semibold" w:hAnsi="WPBKSG+Titillium-Semibold"/>
          <w:color w:val="221E1F"/>
          <w:spacing w:val="10"/>
          <w:sz w:val="20"/>
          <w:szCs w:val="20"/>
        </w:rPr>
        <w:t xml:space="preserve">  </w:t>
      </w:r>
      <w:r>
        <w:rPr>
          <w:rFonts w:ascii="WPBKSG+Titillium-Semibold" w:hAnsi="WPBKSG+Titillium-Semibold"/>
          <w:color w:val="221E1F"/>
          <w:spacing w:val="10"/>
          <w:sz w:val="20"/>
          <w:szCs w:val="20"/>
        </w:rPr>
        <w:t>di Piacenza</w:t>
      </w:r>
    </w:p>
    <w:sectPr>
      <w:type w:val="nextPage"/>
      <w:pgSz w:w="16820" w:h="23811"/>
      <w:pgMar w:left="0" w:right="0" w:header="0" w:top="0" w:footer="0" w:bottom="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PBKSG+Titillium-Semibold">
    <w:charset w:val="00"/>
    <w:family w:val="roman"/>
    <w:pitch w:val="variable"/>
  </w:font>
  <w:font w:name="CIKVNA+Titillium-Regular">
    <w:charset w:val="00"/>
    <w:family w:val="roman"/>
    <w:pitch w:val="variable"/>
  </w:font>
  <w:font w:name="KHPBCL+Titillium-Regular">
    <w:charset w:val="00"/>
    <w:family w:val="roman"/>
    <w:pitch w:val="variable"/>
    <w:embedRegular r:id="rId14" w:fontKey="{0E014A78-CABC-4EF0-12AC-5CD89AEFDE0E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link w:val="Normal"/>
    <w:qFormat/>
    <w:pPr>
      <w:widowControl w:val="false"/>
      <w:suppressAutoHyphens w:val="true"/>
      <w:bidi w:val="0"/>
      <w:spacing w:before="120" w:after="240"/>
      <w:jc w:val="both"/>
    </w:pPr>
    <w:rPr>
      <w:rFonts w:ascii="Calibri" w:hAnsi="Calibri" w:eastAsia="NSimSun" w:cs="Arial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link w:val="Normal"/>
    <w:semiHidden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List" w:default="1">
    <w:name w:val="No List"/>
    <w:link w:val="Normal"/>
    <w:semiHidden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it-IT" w:eastAsia="zh-CN" w:bidi="hi-IN"/>
    </w:rPr>
  </w:style>
  <w:style w:type="paragraph" w:styleId="Contenutocornice">
    <w:name w:val="Contenuto cornice"/>
    <w:basedOn w:val="Normal"/>
    <w:qFormat/>
    <w:pPr/>
    <w:rPr/>
  </w:style>
  <w:style w:type="table" w:default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LibreOffice/6.4.7.2$Windows_X86_64 LibreOffice_project/639b8ac485750d5696d7590a72ef1b496725cfb5</Application>
  <Pages>1</Pages>
  <Words>86</Words>
  <Characters>534</Characters>
  <CharactersWithSpaces>614</CharactersWithSpaces>
  <Paragraphs>11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2026-06-25T00:00:00Z</dcterms:created>
  <dc:creator>silvia.lorenzi</dc:creator>
  <dc:description/>
  <dc:language>it-IT</dc:language>
  <cp:lastModifiedBy/>
  <dcterms:modified xsi:type="dcterms:W3CDTF">2026-07-23T10:26:35Z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1.0000</vt:lpwstr>
  </property>
  <property fmtid="{D5CDD505-2E9C-101B-9397-08002B2CF9AE}" pid="3" name="Company">
    <vt:lpwstr>Aspose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